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34" w:rsidRDefault="008D6034" w:rsidP="008D603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关于牡丹江市爱民区</w:t>
      </w:r>
    </w:p>
    <w:p w:rsidR="00F96346" w:rsidRDefault="008D6034" w:rsidP="008D6034">
      <w:pPr>
        <w:jc w:val="center"/>
        <w:rPr>
          <w:rFonts w:ascii="黑体" w:eastAsia="黑体" w:hint="eastAsia"/>
          <w:b/>
          <w:kern w:val="0"/>
          <w:sz w:val="44"/>
          <w:szCs w:val="44"/>
        </w:rPr>
      </w:pPr>
      <w:r>
        <w:rPr>
          <w:rFonts w:ascii="黑体" w:eastAsia="黑体" w:hint="eastAsia"/>
          <w:b/>
          <w:kern w:val="0"/>
          <w:sz w:val="44"/>
          <w:szCs w:val="44"/>
        </w:rPr>
        <w:t>预算绩效工作开展情况说明</w:t>
      </w:r>
    </w:p>
    <w:p w:rsidR="008D6034" w:rsidRDefault="008D6034" w:rsidP="008D603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F96346" w:rsidRDefault="006414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为全面贯彻习近平新时代中国特色社会主义思想和党的十九大、十九届二中、三中、四中全会精神，全面推进预算绩效管理决策部署，切实提高财政</w:t>
      </w:r>
      <w:r>
        <w:rPr>
          <w:rFonts w:ascii="仿宋" w:eastAsia="仿宋" w:hAnsi="仿宋" w:cs="仿宋" w:hint="eastAsia"/>
          <w:sz w:val="32"/>
          <w:szCs w:val="32"/>
        </w:rPr>
        <w:t>资源配置效率和使用效率</w:t>
      </w:r>
      <w:r>
        <w:rPr>
          <w:rFonts w:ascii="仿宋" w:eastAsia="仿宋" w:hAnsi="仿宋" w:cs="仿宋" w:hint="eastAsia"/>
          <w:sz w:val="32"/>
          <w:szCs w:val="32"/>
        </w:rPr>
        <w:t>，积极推进预算绩效管理工作，不断提高全区预算绩效管理工作的质量和水平，</w:t>
      </w:r>
      <w:r>
        <w:rPr>
          <w:rFonts w:ascii="仿宋" w:eastAsia="仿宋" w:hAnsi="仿宋" w:cs="仿宋" w:hint="eastAsia"/>
          <w:sz w:val="32"/>
          <w:szCs w:val="32"/>
        </w:rPr>
        <w:t>加快构建我区全方位、全过程、全覆盖的预算绩效管理体系，</w:t>
      </w:r>
      <w:r>
        <w:rPr>
          <w:rFonts w:ascii="仿宋" w:eastAsia="仿宋" w:hAnsi="仿宋" w:cs="仿宋" w:hint="eastAsia"/>
          <w:sz w:val="32"/>
          <w:szCs w:val="32"/>
        </w:rPr>
        <w:t>结合实际，现将我区</w:t>
      </w:r>
      <w:r>
        <w:rPr>
          <w:rFonts w:ascii="仿宋" w:eastAsia="仿宋" w:hAnsi="仿宋" w:cs="仿宋" w:hint="eastAsia"/>
          <w:sz w:val="32"/>
          <w:szCs w:val="32"/>
        </w:rPr>
        <w:t>全面推进预算绩效管理</w:t>
      </w:r>
      <w:r>
        <w:rPr>
          <w:rFonts w:ascii="仿宋" w:eastAsia="仿宋" w:hAnsi="仿宋" w:cs="仿宋" w:hint="eastAsia"/>
          <w:sz w:val="32"/>
          <w:szCs w:val="32"/>
        </w:rPr>
        <w:t>贯彻落实情况和工作进展情况</w:t>
      </w:r>
      <w:r w:rsidR="008D6034">
        <w:rPr>
          <w:rFonts w:ascii="仿宋" w:eastAsia="仿宋" w:hAnsi="仿宋" w:cs="仿宋" w:hint="eastAsia"/>
          <w:sz w:val="32"/>
          <w:szCs w:val="32"/>
        </w:rPr>
        <w:t>总结如下。</w:t>
      </w:r>
    </w:p>
    <w:p w:rsidR="00F96346" w:rsidRDefault="0064141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我区</w:t>
      </w:r>
      <w:r>
        <w:rPr>
          <w:rFonts w:ascii="黑体" w:eastAsia="黑体" w:hAnsi="黑体" w:cs="黑体" w:hint="eastAsia"/>
          <w:sz w:val="32"/>
          <w:szCs w:val="32"/>
        </w:rPr>
        <w:t>全面推进预算绩效管理</w:t>
      </w:r>
      <w:r>
        <w:rPr>
          <w:rFonts w:ascii="黑体" w:eastAsia="黑体" w:hAnsi="黑体" w:cs="黑体" w:hint="eastAsia"/>
          <w:sz w:val="32"/>
          <w:szCs w:val="32"/>
        </w:rPr>
        <w:t>贯彻落实情况</w:t>
      </w:r>
    </w:p>
    <w:p w:rsidR="00F96346" w:rsidRDefault="006414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区认真分析预算绩效管理工作实际，按照高质量发展要求，创新经验做法，准确查找存在的差距和突出的问题，着力抓重点、补短板、强弱项、提质量，确保贯彻落实省委、省政府决策部署不跑偏、不走样。我区切实履行绩效管理主体责任，推进全面实施预算绩效管理各项举措落地见效。力争到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年底，基本建</w:t>
      </w:r>
      <w:r>
        <w:rPr>
          <w:rFonts w:ascii="仿宋" w:eastAsia="仿宋" w:hAnsi="仿宋" w:cs="仿宋" w:hint="eastAsia"/>
          <w:sz w:val="32"/>
          <w:szCs w:val="32"/>
        </w:rPr>
        <w:t>成全方位、全过程、全覆盖的预算绩效管理体系，做到“花钱必问效、无效必问责”，大幅提升预算管理水平和政策实施效果。</w:t>
      </w:r>
    </w:p>
    <w:p w:rsidR="00F96346" w:rsidRDefault="0064141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我区</w:t>
      </w:r>
      <w:r>
        <w:rPr>
          <w:rFonts w:ascii="黑体" w:eastAsia="黑体" w:hAnsi="黑体" w:cs="黑体" w:hint="eastAsia"/>
          <w:sz w:val="32"/>
          <w:szCs w:val="32"/>
        </w:rPr>
        <w:t>全面推进预算绩效管理工作进展情况</w:t>
      </w:r>
    </w:p>
    <w:p w:rsidR="00F96346" w:rsidRDefault="00641411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加强组织协调机制。</w:t>
      </w:r>
      <w:r>
        <w:rPr>
          <w:rFonts w:ascii="仿宋" w:eastAsia="仿宋" w:hAnsi="仿宋" w:cs="仿宋" w:hint="eastAsia"/>
          <w:sz w:val="32"/>
          <w:szCs w:val="32"/>
        </w:rPr>
        <w:t>因区级财政部门人员少，举全局之力充实预算绩效管理工作人员力量，通过学习政策文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件，微信群沟通交流，了解掌握全面推行预算绩效管理的重点环节和工作，组织指导区直各预算单位全面实施预算绩效管理工作，加强预算执行监管，强化预算绩效管理考核，将预算绩效管理工作过程和预算资金使用总体效果纳入考核范围，确保全面预算绩效管理工作顺利实施。</w:t>
      </w:r>
    </w:p>
    <w:p w:rsidR="00F96346" w:rsidRDefault="00641411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突出预算绩效导向。</w:t>
      </w:r>
      <w:r>
        <w:rPr>
          <w:rFonts w:ascii="仿宋" w:eastAsia="仿宋" w:hAnsi="仿宋" w:cs="仿宋" w:hint="eastAsia"/>
          <w:sz w:val="32"/>
          <w:szCs w:val="32"/>
        </w:rPr>
        <w:t>在预算编制环节将绩效关口前移，对新出台的重大政策、项目开展事前绩效评估，从源头上提高预算编制的科学性和精准性。严格预算目标审核，未按要求设定绩效目标或审核未通过的，不予安排预算。</w:t>
      </w:r>
    </w:p>
    <w:p w:rsidR="00F96346" w:rsidRDefault="00641411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加强绩效运行监控。</w:t>
      </w:r>
      <w:r>
        <w:rPr>
          <w:rFonts w:ascii="仿宋" w:eastAsia="仿宋" w:hAnsi="仿宋" w:cs="仿宋" w:hint="eastAsia"/>
          <w:sz w:val="32"/>
          <w:szCs w:val="32"/>
        </w:rPr>
        <w:t>在预算执行环节，按照“谁支出、谁负责”的原则，完善用款计划管理，对预算执行进度进行监控，发现问题及时纠正，加强预算执行监测，科学调度资金，推进国库集中支付电子化管理，切实提高预算执行效率。</w:t>
      </w:r>
    </w:p>
    <w:p w:rsidR="00F96346" w:rsidRDefault="00641411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全面开展绩效评价。</w:t>
      </w:r>
      <w:r>
        <w:rPr>
          <w:rFonts w:ascii="仿宋" w:eastAsia="仿宋" w:hAnsi="仿宋" w:cs="仿宋" w:hint="eastAsia"/>
          <w:sz w:val="32"/>
          <w:szCs w:val="32"/>
        </w:rPr>
        <w:t>按照“谁使用资金，谁开展自评价；谁安排资金，谁负责重点评价”的原则，全区实现部门单位整体绩效自评价和项目绩效自评价全覆盖，如实反映绩效目标实现结果，提高部门履职效能和公共服务供给质量。</w:t>
      </w:r>
    </w:p>
    <w:p w:rsidR="00F96346" w:rsidRDefault="0064141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我区</w:t>
      </w:r>
      <w:r>
        <w:rPr>
          <w:rFonts w:ascii="黑体" w:eastAsia="黑体" w:hAnsi="黑体" w:cs="黑体" w:hint="eastAsia"/>
          <w:sz w:val="32"/>
          <w:szCs w:val="32"/>
        </w:rPr>
        <w:t>全面推进预算绩效管理工作打算</w:t>
      </w:r>
    </w:p>
    <w:p w:rsidR="00F96346" w:rsidRDefault="006414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加强专门人员配备。</w:t>
      </w:r>
      <w:r>
        <w:rPr>
          <w:rFonts w:ascii="仿宋" w:eastAsia="仿宋" w:hAnsi="仿宋" w:cs="仿宋" w:hint="eastAsia"/>
          <w:sz w:val="32"/>
          <w:szCs w:val="32"/>
        </w:rPr>
        <w:t>建立“预算编制有目标、预算执行有监控、预算完成有评价、评价结果有应用、绩效缺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失有问责”的全过程绩效管理机制，逐步设立专门人员，加强对预算编制、执行、结果运用的全过程管理。</w:t>
      </w:r>
    </w:p>
    <w:p w:rsidR="00F96346" w:rsidRDefault="006414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加强业务培训和指导。</w:t>
      </w:r>
      <w:r>
        <w:rPr>
          <w:rFonts w:ascii="仿宋" w:eastAsia="仿宋" w:hAnsi="仿宋" w:cs="仿宋" w:hint="eastAsia"/>
          <w:sz w:val="32"/>
          <w:szCs w:val="32"/>
        </w:rPr>
        <w:t>采取自学、网络培训等方式，加大对财政部门及参与绩效评价的人员培训力度，</w:t>
      </w:r>
      <w:r>
        <w:rPr>
          <w:rFonts w:ascii="仿宋" w:eastAsia="仿宋" w:hAnsi="仿宋" w:cs="仿宋" w:hint="eastAsia"/>
          <w:sz w:val="32"/>
          <w:szCs w:val="32"/>
        </w:rPr>
        <w:t>进一步强化学习培训，充实业务知识，结合工作开展实际，认真总结预算绩效工作开展以来的实践经验、问题和难点，进一步完善建立健全考评机制，深入推进财政预算管理工作。</w:t>
      </w:r>
    </w:p>
    <w:p w:rsidR="00F96346" w:rsidRDefault="006414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促进第三方有序参与。</w:t>
      </w:r>
      <w:r>
        <w:rPr>
          <w:rFonts w:ascii="仿宋" w:eastAsia="仿宋" w:hAnsi="仿宋" w:cs="仿宋" w:hint="eastAsia"/>
          <w:sz w:val="32"/>
          <w:szCs w:val="32"/>
        </w:rPr>
        <w:t>完善专家咨询机制，建立专家智库，为预算绩效管理提供智力支持；引导第三方机构参与预算绩效管理，建立第三方服务机构库，严格资格认定，规范选用程序，加强执业质量监督管理。</w:t>
      </w:r>
    </w:p>
    <w:p w:rsidR="00F96346" w:rsidRDefault="006414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稳步有序推进实施。</w:t>
      </w:r>
      <w:r>
        <w:rPr>
          <w:rFonts w:ascii="仿宋" w:eastAsia="仿宋" w:hAnsi="仿宋" w:cs="仿宋" w:hint="eastAsia"/>
          <w:sz w:val="32"/>
          <w:szCs w:val="32"/>
        </w:rPr>
        <w:t>加强财政与部门之间的协调配合，构建分工明确、各司其职、齐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抓共管的工作格局；强化工作衔接、上下联动，同步实施、整体推进，逐步建立全方位、全</w:t>
      </w:r>
      <w:r>
        <w:rPr>
          <w:rFonts w:ascii="仿宋" w:eastAsia="仿宋" w:hAnsi="仿宋" w:cs="仿宋" w:hint="eastAsia"/>
          <w:sz w:val="32"/>
          <w:szCs w:val="32"/>
        </w:rPr>
        <w:t>过程、全覆盖的预算绩效管理体系。</w:t>
      </w:r>
    </w:p>
    <w:sectPr w:rsidR="00F96346" w:rsidSect="00F9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11" w:rsidRDefault="00641411" w:rsidP="008D6034">
      <w:r>
        <w:separator/>
      </w:r>
    </w:p>
  </w:endnote>
  <w:endnote w:type="continuationSeparator" w:id="1">
    <w:p w:rsidR="00641411" w:rsidRDefault="00641411" w:rsidP="008D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11" w:rsidRDefault="00641411" w:rsidP="008D6034">
      <w:r>
        <w:separator/>
      </w:r>
    </w:p>
  </w:footnote>
  <w:footnote w:type="continuationSeparator" w:id="1">
    <w:p w:rsidR="00641411" w:rsidRDefault="00641411" w:rsidP="008D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BF7A9C"/>
    <w:multiLevelType w:val="singleLevel"/>
    <w:tmpl w:val="8EBF7A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8F154F4"/>
    <w:multiLevelType w:val="singleLevel"/>
    <w:tmpl w:val="A8F154F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346"/>
    <w:rsid w:val="001B08D1"/>
    <w:rsid w:val="00641411"/>
    <w:rsid w:val="008D6034"/>
    <w:rsid w:val="00F96346"/>
    <w:rsid w:val="00FB3F85"/>
    <w:rsid w:val="08E94E28"/>
    <w:rsid w:val="0EFA785A"/>
    <w:rsid w:val="0F761BED"/>
    <w:rsid w:val="12FD2450"/>
    <w:rsid w:val="17F10CD2"/>
    <w:rsid w:val="1BE34193"/>
    <w:rsid w:val="204421F1"/>
    <w:rsid w:val="206777B8"/>
    <w:rsid w:val="2373107E"/>
    <w:rsid w:val="27295603"/>
    <w:rsid w:val="28F07017"/>
    <w:rsid w:val="2A3B5A08"/>
    <w:rsid w:val="2D7B7BE5"/>
    <w:rsid w:val="2E0A1781"/>
    <w:rsid w:val="31345437"/>
    <w:rsid w:val="32A91071"/>
    <w:rsid w:val="333141F4"/>
    <w:rsid w:val="34A70585"/>
    <w:rsid w:val="367E0965"/>
    <w:rsid w:val="36A67329"/>
    <w:rsid w:val="3B3A186A"/>
    <w:rsid w:val="3B5D3A4E"/>
    <w:rsid w:val="3FA6373A"/>
    <w:rsid w:val="40F756E2"/>
    <w:rsid w:val="41A73C12"/>
    <w:rsid w:val="427169C6"/>
    <w:rsid w:val="428B4D9E"/>
    <w:rsid w:val="433321F6"/>
    <w:rsid w:val="46295D05"/>
    <w:rsid w:val="46490AA3"/>
    <w:rsid w:val="46911EBE"/>
    <w:rsid w:val="48425FEC"/>
    <w:rsid w:val="486F17BD"/>
    <w:rsid w:val="4CBB408B"/>
    <w:rsid w:val="4D545A3B"/>
    <w:rsid w:val="50C9754C"/>
    <w:rsid w:val="54796B55"/>
    <w:rsid w:val="5497568B"/>
    <w:rsid w:val="55AD15CA"/>
    <w:rsid w:val="59295B1A"/>
    <w:rsid w:val="593028FB"/>
    <w:rsid w:val="59602035"/>
    <w:rsid w:val="59661005"/>
    <w:rsid w:val="5AAB103D"/>
    <w:rsid w:val="60C45685"/>
    <w:rsid w:val="60DB619A"/>
    <w:rsid w:val="61573BB7"/>
    <w:rsid w:val="62292270"/>
    <w:rsid w:val="626B2C72"/>
    <w:rsid w:val="694A203A"/>
    <w:rsid w:val="69C75176"/>
    <w:rsid w:val="6A5C6A5C"/>
    <w:rsid w:val="6ABD43C5"/>
    <w:rsid w:val="6B237040"/>
    <w:rsid w:val="6BCB2E09"/>
    <w:rsid w:val="6D8D3733"/>
    <w:rsid w:val="722562DD"/>
    <w:rsid w:val="727E318D"/>
    <w:rsid w:val="74830755"/>
    <w:rsid w:val="76F42833"/>
    <w:rsid w:val="79597773"/>
    <w:rsid w:val="7AFF783B"/>
    <w:rsid w:val="7B38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3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34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D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60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D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60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2020-06-25T01:57:00Z</dcterms:created>
  <dcterms:modified xsi:type="dcterms:W3CDTF">2022-02-15T02:08:00Z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